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</w:pPr>
      <w:r>
        <w:rPr>
          <w:rFonts w:ascii="Calibri" w:cs="Calibri" w:eastAsia="Calibri" w:hAnsi="Calibri"/>
          <w:b/>
          <w:bCs/>
          <w:color w:val="0B2545"/>
          <w:spacing w:val="80"/>
          <w:sz w:val="56"/>
          <w:szCs w:val="56"/>
        </w:rPr>
        <w:t xml:space="preserve">CREATIVE BRIEF</w:t>
      </w:r>
    </w:p>
    <w:p>
      <w:pPr>
        <w:pBdr>
          <w:bottom w:val="single" w:color="B8862F" w:sz="18" w:space="6"/>
        </w:pBdr>
        <w:spacing w:after="80" w:before="0"/>
      </w:pPr>
      <w:r>
        <w:rPr>
          <w:rFonts w:ascii="Calibri" w:cs="Calibri" w:eastAsia="Calibri" w:hAnsi="Calibri"/>
          <w:i/>
          <w:iCs/>
          <w:color w:val="5A6473"/>
          <w:sz w:val="28"/>
          <w:szCs w:val="28"/>
        </w:rPr>
        <w:t xml:space="preserve">Sanmar Premium Apartments — Meta Lead Generation Campaign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0B2545"/>
                <w:spacing w:val="20"/>
                <w:sz w:val="18"/>
                <w:szCs w:val="18"/>
              </w:rPr>
              <w:t xml:space="preserve">CAMPAIGN CODE</w:t>
            </w:r>
          </w:p>
        </w:tc>
        <w:tc>
          <w:tcPr>
            <w:tcW w:type="dxa" w:w="65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SANMAR-MET-LG-Q2-26</w:t>
            </w:r>
          </w:p>
        </w:tc>
      </w:tr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0B2545"/>
                <w:spacing w:val="20"/>
                <w:sz w:val="18"/>
                <w:szCs w:val="18"/>
              </w:rPr>
              <w:t xml:space="preserve">PREPARED BY</w:t>
            </w:r>
          </w:p>
        </w:tc>
        <w:tc>
          <w:tcPr>
            <w:tcW w:type="dxa" w:w="65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Shourov Ahmed, Growth Manager</w:t>
            </w:r>
          </w:p>
        </w:tc>
      </w:tr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0B2545"/>
                <w:spacing w:val="20"/>
                <w:sz w:val="18"/>
                <w:szCs w:val="18"/>
              </w:rPr>
              <w:t xml:space="preserve">DATE</w:t>
            </w:r>
          </w:p>
        </w:tc>
        <w:tc>
          <w:tcPr>
            <w:tcW w:type="dxa" w:w="65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12 May 2026</w:t>
            </w:r>
          </w:p>
        </w:tc>
      </w:tr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0B2545"/>
                <w:spacing w:val="20"/>
                <w:sz w:val="18"/>
                <w:szCs w:val="18"/>
              </w:rPr>
              <w:t xml:space="preserve">SPRINT WINDOW</w:t>
            </w:r>
          </w:p>
        </w:tc>
        <w:tc>
          <w:tcPr>
            <w:tcW w:type="dxa" w:w="65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Wk 1–2 production · Wk 3 QA · Wk 4 launch</w:t>
            </w:r>
          </w:p>
        </w:tc>
      </w:tr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0B2545"/>
                <w:spacing w:val="20"/>
                <w:sz w:val="18"/>
                <w:szCs w:val="18"/>
              </w:rPr>
              <w:t xml:space="preserve">PRIMARY KPI</w:t>
            </w:r>
          </w:p>
        </w:tc>
        <w:tc>
          <w:tcPr>
            <w:tcW w:type="dxa" w:w="65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Cost per Qualified Lead (CPQL) ≤ BDT 850</w:t>
            </w:r>
          </w:p>
        </w:tc>
      </w:tr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0B2545"/>
                <w:spacing w:val="20"/>
                <w:sz w:val="18"/>
                <w:szCs w:val="18"/>
              </w:rPr>
              <w:t xml:space="preserve">SECONDARY KPIS</w:t>
            </w:r>
          </w:p>
        </w:tc>
        <w:tc>
          <w:tcPr>
            <w:tcW w:type="dxa" w:w="65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Hook-rate ≥ 30%, Thumbstop ≥ 35%, CTR ≥ 1.6%</w:t>
            </w:r>
          </w:p>
        </w:tc>
      </w:tr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0B2545"/>
                <w:spacing w:val="20"/>
                <w:sz w:val="18"/>
                <w:szCs w:val="18"/>
              </w:rPr>
              <w:t xml:space="preserve">BUDGET BUCKET</w:t>
            </w:r>
          </w:p>
        </w:tc>
        <w:tc>
          <w:tcPr>
            <w:tcW w:type="dxa" w:w="65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BDT 12,00,000 / month (test 25% · scale 75%)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01 · CAMPAIGN GOAL</w:t>
      </w:r>
    </w:p>
    <w:p>
      <w:pPr>
        <w:spacing w:after="60" w:before="6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Generate </w:t>
      </w: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min. 1,400 marketing-qualified leads (MQLs)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from Dhaka HNI households (BDT 8L+ monthly income) in 30 days, with a target </w:t>
      </w: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CPQL of ≤ BDT 850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and a ≥ 22% lead-to-site-visit conversion downstream. Volume isn’t the win — qualified visits are.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Why this target — data anchor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Historical baseline: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Last 3 Sanmar Meta lead-gen cycles averaged CPL BDT 1,180 with 14% lead-to-visit. We are pushing CPL ↓28% and visit-rate ↑57%.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Funnel math: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1,400 MQL × 22% visit × 18% close-rate (industry premium-tier benchmark) = 55 unit reservations target. Average Sanmar ticket ≈ BDT 2.4Cr → BDT 132Cr pipeline contribution.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Creative leverage: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Meta auction data shows creative drives 56% of ROAS variance (Nielsen meta-analysis, 2023). This brief is the single highest-leverage lever in the plan.</w:t>
      </w:r>
    </w:p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02 · AUDIENCE — PAIN POINTS &amp; INSIGHT</w:t>
      </w:r>
    </w:p>
    <w:p>
      <w:pPr>
        <w:pStyle w:val="Heading2"/>
        <w:spacing w:after="120" w:before="240"/>
      </w:pPr>
      <w:r>
        <w:rPr>
          <w:rFonts w:ascii="Calibri" w:cs="Calibri" w:eastAsia="Calibri" w:hAnsi="Calibri"/>
          <w:b/>
          <w:bCs/>
          <w:color w:val="0B2545"/>
          <w:sz w:val="26"/>
          <w:szCs w:val="26"/>
        </w:rPr>
        <w:t xml:space="preserve">Primary Segment: Local HNI Families, Dhaka, 35–55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rPr>
          <w:tblHeader/>
        </w:trPr>
        <w:tc>
          <w:tcPr>
            <w:tcW w:type="dxa" w:w="24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Dimension</w:t>
            </w:r>
          </w:p>
        </w:tc>
        <w:tc>
          <w:tcPr>
            <w:tcW w:type="dxa" w:w="696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4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Profile</w:t>
            </w:r>
          </w:p>
        </w:tc>
        <w:tc>
          <w:tcPr>
            <w:tcW w:type="dxa" w:w="69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Business owners, senior corporate execs, doctors, NGO leaders. Dual-earner or single high-earner households. 1–3 children, often with elderly parents living in.</w:t>
            </w:r>
          </w:p>
        </w:tc>
      </w:tr>
      <w:tr>
        <w:tc>
          <w:tcPr>
            <w:tcW w:type="dxa" w:w="24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Income &amp; Asset</w:t>
            </w:r>
          </w:p>
        </w:tc>
        <w:tc>
          <w:tcPr>
            <w:tcW w:type="dxa" w:w="69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Monthly HH income BDT 8L–35L. Liquid assets BDT 1.5–6 Cr. Currently in owned 1,800–2,400 sqft apartment, upgrading to 2,800–4,200 sqft.</w:t>
            </w:r>
          </w:p>
        </w:tc>
      </w:tr>
      <w:tr>
        <w:tc>
          <w:tcPr>
            <w:tcW w:type="dxa" w:w="24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Location</w:t>
            </w:r>
          </w:p>
        </w:tc>
        <w:tc>
          <w:tcPr>
            <w:tcW w:type="dxa" w:w="69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Gulshan, Banani, Baridhara, Dhanmondi, Bashundhara R/A — ±5 km radius targeting layered with income proxies.</w:t>
            </w:r>
          </w:p>
        </w:tc>
      </w:tr>
      <w:tr>
        <w:tc>
          <w:tcPr>
            <w:tcW w:type="dxa" w:w="24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Device &amp; Time</w:t>
            </w:r>
          </w:p>
        </w:tc>
        <w:tc>
          <w:tcPr>
            <w:tcW w:type="dxa" w:w="69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85% mobile, peak engagement 8–10 PM (post-dinner) and 11 PM–1 AM (insomnia scroll). Friday morning long-form consumption.</w:t>
            </w:r>
          </w:p>
        </w:tc>
      </w:tr>
      <w:tr>
        <w:tc>
          <w:tcPr>
            <w:tcW w:type="dxa" w:w="24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Decision Unit</w:t>
            </w:r>
          </w:p>
        </w:tc>
        <w:tc>
          <w:tcPr>
            <w:tcW w:type="dxa" w:w="69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Buyer = male (62%) lead, but spouse decides 71% of final choice (internal Sanmar 2025 buyer survey). Creative must speak to BOTH.</w:t>
            </w:r>
          </w:p>
        </w:tc>
      </w:tr>
    </w:tbl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Top 5 Pain Points (ranked by interview frequency, n=84 past buyers)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Trust deficit — “Will the developer actually deliver on time and on spec?” (mentioned by 79%)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Construction quality anxiety — fear of cracks, leakage, cheap fittings becoming visible in year 2–3 (66%)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Location-vs-space trade-off — can’t find 3,000+ sqft in prime Gulshan without 6 Cr+ ticket (61%)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Lifestyle fit for ageing parents and growing kids — lift dependency, security, play areas (54%)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Resale &amp; rental yield uncertainty — wants 6%+ rental yield and brand premium on resale (48%)</w:t>
      </w:r>
    </w:p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03 · EMOTIONAL TRIGGERS</w:t>
      </w:r>
    </w:p>
    <w:p>
      <w:pPr>
        <w:spacing w:after="60" w:before="60" w:line="30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1F1F1F"/>
          <w:sz w:val="22"/>
          <w:szCs w:val="22"/>
        </w:rPr>
        <w:t xml:space="preserve">HNI buyers in Dhaka do not buy floor plans — they buy social standing, family security, and legacy. Stack rational proof (RAJUK, handover record, materials) on top of these emotional layers.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4360"/>
        <w:gridCol w:w="2800"/>
      </w:tblGrid>
      <w:tr>
        <w:trPr>
          <w:tblHeader/>
        </w:trPr>
        <w:tc>
          <w:tcPr>
            <w:tcW w:type="dxa" w:w="22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Trigger</w:t>
            </w:r>
          </w:p>
        </w:tc>
        <w:tc>
          <w:tcPr>
            <w:tcW w:type="dxa" w:w="436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How It Plays</w:t>
            </w:r>
          </w:p>
        </w:tc>
        <w:tc>
          <w:tcPr>
            <w:tcW w:type="dxa" w:w="28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Creative Cue</w:t>
            </w:r>
          </w:p>
        </w:tc>
      </w:tr>
      <w:tr>
        <w:tc>
          <w:tcPr>
            <w:tcW w:type="dxa" w:w="22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Pride of Arrival</w:t>
            </w:r>
          </w:p>
        </w:tc>
        <w:tc>
          <w:tcPr>
            <w:tcW w:type="dxa" w:w="43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“This is the address I’ve worked 20 years to afford.” The lobby moment when guests walk in.</w:t>
            </w:r>
          </w:p>
        </w:tc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Cinematic lobby reveal, valet, marble, slow doorman nod.</w:t>
            </w:r>
          </w:p>
        </w:tc>
      </w:tr>
      <w:tr>
        <w:tc>
          <w:tcPr>
            <w:tcW w:type="dxa" w:w="22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Family Sanctuary</w:t>
            </w:r>
          </w:p>
        </w:tc>
        <w:tc>
          <w:tcPr>
            <w:tcW w:type="dxa" w:w="43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Safety for kids and parents; the home as fortress against Dhaka’s chaos.</w:t>
            </w:r>
          </w:p>
        </w:tc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Kids on a balcony, grandmother in a sunlit reading nook, gated entry.</w:t>
            </w:r>
          </w:p>
        </w:tc>
      </w:tr>
      <w:tr>
        <w:tc>
          <w:tcPr>
            <w:tcW w:type="dxa" w:w="22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Legacy / Asset</w:t>
            </w:r>
          </w:p>
        </w:tc>
        <w:tc>
          <w:tcPr>
            <w:tcW w:type="dxa" w:w="43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“This appreciates. I’m leaving something behind.” Investment intelligence.</w:t>
            </w:r>
          </w:p>
        </w:tc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Price-appreciation chart overlay, RAJUK stamp on blueprint.</w:t>
            </w:r>
          </w:p>
        </w:tc>
      </w:tr>
      <w:tr>
        <w:tc>
          <w:tcPr>
            <w:tcW w:type="dxa" w:w="22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Time Reclaimed</w:t>
            </w:r>
          </w:p>
        </w:tc>
        <w:tc>
          <w:tcPr>
            <w:tcW w:type="dxa" w:w="43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Concierge, valet, in-building gym = 2 hours of life back per day.</w:t>
            </w:r>
          </w:p>
        </w:tc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Watch face going backward, montage of mini-errands handled.</w:t>
            </w:r>
          </w:p>
        </w:tc>
      </w:tr>
      <w:tr>
        <w:tc>
          <w:tcPr>
            <w:tcW w:type="dxa" w:w="22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Spouse Approval</w:t>
            </w:r>
          </w:p>
        </w:tc>
        <w:tc>
          <w:tcPr>
            <w:tcW w:type="dxa" w:w="43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The “she/he loved it” moment that closes the deal.</w:t>
            </w:r>
          </w:p>
        </w:tc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Wife sees walk-in closet / kitchen; subtle gasp, quick smile.</w:t>
            </w:r>
          </w:p>
        </w:tc>
      </w:tr>
    </w:tbl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04 · HOOK IDEAS (FIRST 3 SECONDS)</w:t>
      </w:r>
    </w:p>
    <w:p>
      <w:pPr>
        <w:spacing w:after="60" w:before="60" w:line="30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1F1F1F"/>
          <w:sz w:val="22"/>
          <w:szCs w:val="22"/>
        </w:rPr>
        <w:t xml:space="preserve">Meta auction is won in the first 3 seconds. Produce 12 hooks per concept; we will rotate 3 winners. Mix pattern interrupts, direct address, and curiosity gaps.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Hook bank — produce all 12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"আপনি কি এখনো ভাড়া বাসায় ১৭ লাখ টাকা/বছর গচ্চা দিচ্ছেন?" (Are you still bleeding 17L/year on rent?) — loss-aversion direct.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Slow push-in on the lobby door + text overlay: "Gulshan-2. 3,400 sqft. শুধু ৩৭ পরিবার।"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Sound on: keys jangling, door opens to skyline view. No words first 2s.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Split screen: 1986 vs 2026 Dhaka skyline → "আপনার সন্তানের ঠিকানা কোথায় হবে?"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Founder/MD piece-to-camera: "১৪ বছরে ২৭টি প্রজেক্ট. একটাও দেরি হয়নি."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Testimonial cold-open: existing owner walking guests through their home.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Floorplan-to-3D render morph in 1.5s — fast motion graphics.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Price-tag reveal: "Gulshan-2-এ ৩,৪০০ sqft." Pause. "৬ কোটি না. মাত্র ৪.২ কোটি."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Pattern interrupt: aerial drone fly-through under 2s, then drop into a balcony shot.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"৯২% বাঙালি বাবা একটাই আক্ষেপ নিয়ে মারা যান — সন্তানদের নিজের বাড়ি দিতে পারিনি।" (emotional)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Numbered list cold-open: "৭টি কারণে Sanmar Gulshan-2 শেষ হওয়ার আগেই বুকড হবে."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UGC style: spouse showing closet/kitchen on selfie cam — "এই কিচেনটা দেখেন!"</w:t>
      </w:r>
    </w:p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05 · VISUAL REFERENCES &amp; MOOD</w:t>
      </w:r>
    </w:p>
    <w:p>
      <w:pPr>
        <w:spacing w:after="60" w:before="60" w:line="30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1F1F1F"/>
          <w:sz w:val="22"/>
          <w:szCs w:val="22"/>
        </w:rPr>
        <w:t xml:space="preserve">Tone: cinematic premium — closer to a Rolex or BMW film than typical Dhaka real-estate ads. Avoid the over-saturated, busy, text-heavy template that dominates the local feed; that’s our differentiation.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Reference inspirations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Apple — “Detail Matters” (iPhone 15 launch):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macro shots, slow tracking, silence + single ambient note.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Lodha (India) — “Lodha World Towers”: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lifestyle vignettes intercut with architecture; spouse-and-kid micro-moments.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DAMAC Dubai — “Address Residences”: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luxury concierge framing, sky lounge, golden hour.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Aman Resorts — brand films: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negative space, no overlay typography for first 4 seconds, slow zen pacing.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Avoid: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Bashundhara/East-West-style multi-CTA banners, neon graphics, “Mega Offer” starburst stickers — these read as low-trust in this audience.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Colour palette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1600"/>
        <w:gridCol w:w="5960"/>
      </w:tblGrid>
      <w:tr>
        <w:trPr>
          <w:tblHeader/>
        </w:trPr>
        <w:tc>
          <w:tcPr>
            <w:tcW w:type="dxa" w:w="18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Name</w:t>
            </w:r>
          </w:p>
        </w:tc>
        <w:tc>
          <w:tcPr>
            <w:tcW w:type="dxa" w:w="16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Hex</w:t>
            </w:r>
          </w:p>
        </w:tc>
        <w:tc>
          <w:tcPr>
            <w:tcW w:type="dxa" w:w="596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Use</w:t>
            </w:r>
          </w:p>
        </w:tc>
      </w:tr>
      <w:tr>
        <w:tc>
          <w:tcPr>
            <w:tcW w:type="dxa" w:w="1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0B2545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Brand Navy</w:t>
            </w:r>
          </w:p>
        </w:tc>
        <w:tc>
          <w:tcPr>
            <w:tcW w:type="dxa" w:w="16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#0B2545</w:t>
            </w:r>
          </w:p>
        </w:tc>
        <w:tc>
          <w:tcPr>
            <w:tcW w:type="dxa" w:w="59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Authority, legacy, trust — primary text/CTA bg</w:t>
            </w:r>
          </w:p>
        </w:tc>
      </w:tr>
      <w:tr>
        <w:tc>
          <w:tcPr>
            <w:tcW w:type="dxa" w:w="1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B8862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Champagne Gold</w:t>
            </w:r>
          </w:p>
        </w:tc>
        <w:tc>
          <w:tcPr>
            <w:tcW w:type="dxa" w:w="16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#B8862F</w:t>
            </w:r>
          </w:p>
        </w:tc>
        <w:tc>
          <w:tcPr>
            <w:tcW w:type="dxa" w:w="59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Premium accents, dividers, micro-iconography</w:t>
            </w:r>
          </w:p>
        </w:tc>
      </w:tr>
      <w:tr>
        <w:tc>
          <w:tcPr>
            <w:tcW w:type="dxa" w:w="1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Off-Ivory</w:t>
            </w:r>
          </w:p>
        </w:tc>
        <w:tc>
          <w:tcPr>
            <w:tcW w:type="dxa" w:w="16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#F4F1EA</w:t>
            </w:r>
          </w:p>
        </w:tc>
        <w:tc>
          <w:tcPr>
            <w:tcW w:type="dxa" w:w="59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Page bg, lower-thirds, breathing room</w:t>
            </w:r>
          </w:p>
        </w:tc>
      </w:tr>
      <w:tr>
        <w:tc>
          <w:tcPr>
            <w:tcW w:type="dxa" w:w="1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5A6473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Slate</w:t>
            </w:r>
          </w:p>
        </w:tc>
        <w:tc>
          <w:tcPr>
            <w:tcW w:type="dxa" w:w="16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#5A6473</w:t>
            </w:r>
          </w:p>
        </w:tc>
        <w:tc>
          <w:tcPr>
            <w:tcW w:type="dxa" w:w="59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Secondary text, captions</w:t>
            </w:r>
          </w:p>
        </w:tc>
      </w:tr>
      <w:tr>
        <w:tc>
          <w:tcPr>
            <w:tcW w:type="dxa" w:w="1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FFE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Warm White</w:t>
            </w:r>
          </w:p>
        </w:tc>
        <w:tc>
          <w:tcPr>
            <w:tcW w:type="dxa" w:w="16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#FFFEFB</w:t>
            </w:r>
          </w:p>
        </w:tc>
        <w:tc>
          <w:tcPr>
            <w:tcW w:type="dxa" w:w="59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Primary surface — never pure #FFFFFF</w:t>
            </w:r>
          </w:p>
        </w:tc>
      </w:tr>
    </w:tbl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06 · STORYBOARD DIRECTION</w:t>
      </w:r>
    </w:p>
    <w:p>
      <w:pPr>
        <w:spacing w:after="60" w:before="60" w:line="30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1F1F1F"/>
          <w:sz w:val="22"/>
          <w:szCs w:val="22"/>
        </w:rPr>
        <w:t xml:space="preserve">We are producing THREE concept tracks in parallel. Each concept ships a 30s hero, three 6s cutdowns, and a static carousel. Below is the 30s board for the lead concept.</w:t>
      </w:r>
    </w:p>
    <w:p>
      <w:pPr>
        <w:pStyle w:val="Heading2"/>
        <w:spacing w:after="120" w:before="240"/>
      </w:pPr>
      <w:r>
        <w:rPr>
          <w:rFonts w:ascii="Calibri" w:cs="Calibri" w:eastAsia="Calibri" w:hAnsi="Calibri"/>
          <w:b/>
          <w:bCs/>
          <w:color w:val="0B2545"/>
          <w:sz w:val="26"/>
          <w:szCs w:val="26"/>
        </w:rPr>
        <w:t xml:space="preserve">Concept A — “The Address You Earned”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1100"/>
        <w:gridCol w:w="3560"/>
        <w:gridCol w:w="3500"/>
      </w:tblGrid>
      <w:tr>
        <w:trPr>
          <w:tblHeader/>
        </w:trPr>
        <w:tc>
          <w:tcPr>
            <w:tcW w:type="dxa" w:w="12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Time</w:t>
            </w:r>
          </w:p>
        </w:tc>
        <w:tc>
          <w:tcPr>
            <w:tcW w:type="dxa" w:w="11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Beat</w:t>
            </w:r>
          </w:p>
        </w:tc>
        <w:tc>
          <w:tcPr>
            <w:tcW w:type="dxa" w:w="356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Visual</w:t>
            </w:r>
          </w:p>
        </w:tc>
        <w:tc>
          <w:tcPr>
            <w:tcW w:type="dxa" w:w="35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Audio / Copy</w:t>
            </w:r>
          </w:p>
        </w:tc>
      </w:tr>
      <w:tr>
        <w:tc>
          <w:tcPr>
            <w:tcW w:type="dxa" w:w="12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00:00–00:03</w:t>
            </w:r>
          </w:p>
        </w:tc>
        <w:tc>
          <w:tcPr>
            <w:tcW w:type="dxa" w:w="11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HOOK</w:t>
            </w:r>
          </w:p>
        </w:tc>
        <w:tc>
          <w:tcPr>
            <w:tcW w:type="dxa" w:w="35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Black frame. Sound of valet whistle + car door. Cut to wide shot: SUV pulling up to lit canopy at dusk.</w:t>
            </w:r>
          </w:p>
        </w:tc>
        <w:tc>
          <w:tcPr>
            <w:tcW w:type="dxa" w:w="35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Text overlay (fade in at 02s): "কিছু ঠিকানা শুধু কেনা যায় না — অর্জন করতে হয়।"</w:t>
            </w:r>
          </w:p>
        </w:tc>
      </w:tr>
      <w:tr>
        <w:tc>
          <w:tcPr>
            <w:tcW w:type="dxa" w:w="12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00:03–00:08</w:t>
            </w:r>
          </w:p>
        </w:tc>
        <w:tc>
          <w:tcPr>
            <w:tcW w:type="dxa" w:w="11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AGITATE</w:t>
            </w:r>
          </w:p>
        </w:tc>
        <w:tc>
          <w:tcPr>
            <w:tcW w:type="dxa" w:w="35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POV walking into lobby. Doorman nods. Marble floor, chandelier, security desk in soft focus.</w:t>
            </w:r>
          </w:p>
        </w:tc>
        <w:tc>
          <w:tcPr>
            <w:tcW w:type="dxa" w:w="35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Subtle SFX: heel on marble. No VO yet.</w:t>
            </w:r>
          </w:p>
        </w:tc>
      </w:tr>
      <w:tr>
        <w:tc>
          <w:tcPr>
            <w:tcW w:type="dxa" w:w="12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00:08–00:15</w:t>
            </w:r>
          </w:p>
        </w:tc>
        <w:tc>
          <w:tcPr>
            <w:tcW w:type="dxa" w:w="11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REVEAL</w:t>
            </w:r>
          </w:p>
        </w:tc>
        <w:tc>
          <w:tcPr>
            <w:tcW w:type="dxa" w:w="35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Cut to inside the apartment: spouse walks across living room, sliding doors open to balcony skyline. Kids running in.</w:t>
            </w:r>
          </w:p>
        </w:tc>
        <w:tc>
          <w:tcPr>
            <w:tcW w:type="dxa" w:w="35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VO begins (warm male, mid-40s): "১৪ বছরের পরিশ্রমের পর, আপনার পরিবারের জন্য — Gulshan-2."</w:t>
            </w:r>
          </w:p>
        </w:tc>
      </w:tr>
      <w:tr>
        <w:tc>
          <w:tcPr>
            <w:tcW w:type="dxa" w:w="12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00:15–00:22</w:t>
            </w:r>
          </w:p>
        </w:tc>
        <w:tc>
          <w:tcPr>
            <w:tcW w:type="dxa" w:w="11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PROOF</w:t>
            </w:r>
          </w:p>
        </w:tc>
        <w:tc>
          <w:tcPr>
            <w:tcW w:type="dxa" w:w="35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Quick montage: RAJUK stamp, handover-on-time graphic (27/27), founder MD walking the site, owner-testimonial freeze-frame with name tag.</w:t>
            </w:r>
          </w:p>
        </w:tc>
        <w:tc>
          <w:tcPr>
            <w:tcW w:type="dxa" w:w="35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VO: "২৭টি প্রজেক্ট. ২৭টি সময়মতো হ্যান্ডওভার. শূন্য বিলম্ব।"</w:t>
            </w:r>
          </w:p>
        </w:tc>
      </w:tr>
      <w:tr>
        <w:tc>
          <w:tcPr>
            <w:tcW w:type="dxa" w:w="12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00:22–00:27</w:t>
            </w:r>
          </w:p>
        </w:tc>
        <w:tc>
          <w:tcPr>
            <w:tcW w:type="dxa" w:w="11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OFFER</w:t>
            </w:r>
          </w:p>
        </w:tc>
        <w:tc>
          <w:tcPr>
            <w:tcW w:type="dxa" w:w="35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Floor plan slides in, ticker counts down available units: "৩৭ → ১২ ইউনিট অবশিষ্ট". Price reveal: "৪.২ কোটি থেকে শুরু".</w:t>
            </w:r>
          </w:p>
        </w:tc>
        <w:tc>
          <w:tcPr>
            <w:tcW w:type="dxa" w:w="35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VO: "মাত্র ১২টি ইউনিট বাকি। ১৫ই জুনের আগে সাইট ভিজিটে গ্যারান্টিড সেরা ফ্লোর."</w:t>
            </w:r>
          </w:p>
        </w:tc>
      </w:tr>
      <w:tr>
        <w:tc>
          <w:tcPr>
            <w:tcW w:type="dxa" w:w="12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00:27–00:30</w:t>
            </w:r>
          </w:p>
        </w:tc>
        <w:tc>
          <w:tcPr>
            <w:tcW w:type="dxa" w:w="11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CTA</w:t>
            </w:r>
          </w:p>
        </w:tc>
        <w:tc>
          <w:tcPr>
            <w:tcW w:type="dxa" w:w="35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End card: Sanmar logo, gold rule, CTA button "Book Private Site Visit", WhatsApp icon + number, locked-in copyright bar.</w:t>
            </w:r>
          </w:p>
        </w:tc>
        <w:tc>
          <w:tcPr>
            <w:tcW w:type="dxa" w:w="35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End SFX: subtle gold ping. WhatsApp number on screen.</w:t>
            </w:r>
          </w:p>
        </w:tc>
      </w:tr>
    </w:tbl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Concept B (parallel) — “The 27/27 Promise”</w:t>
      </w:r>
    </w:p>
    <w:p>
      <w:pPr>
        <w:spacing w:after="60" w:before="60" w:line="30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1F1F1F"/>
          <w:sz w:val="22"/>
          <w:szCs w:val="22"/>
        </w:rPr>
        <w:t xml:space="preserve">Founder-led, trust-first. MD on construction site, hard-hat, talks delivery record. 90% organic-feel, low gloss. Targets the trust-deficit pain point head-on. Best for cold middle-funnel.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Concept C (parallel) — “She Said Yes”</w:t>
      </w:r>
    </w:p>
    <w:p>
      <w:pPr>
        <w:spacing w:after="60" w:before="60" w:line="30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1F1F1F"/>
          <w:sz w:val="22"/>
          <w:szCs w:val="22"/>
        </w:rPr>
        <w:t xml:space="preserve">Spouse-POV walkthrough. UGC selfie style. Closet → kitchen → balcony view → quick text-overlay reaction quotes. Built for Reels-native viewing; targets the 71% spouse-decision insight.</w:t>
      </w:r>
    </w:p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07 · SCRIPT OUTLINE — 30S HERO (CONCEPT A)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VO Script — Bangla primary, English overlay for NRB spill-over</w:t>
      </w:r>
    </w:p>
    <w:p>
      <w:pPr>
        <w:spacing w:after="60" w:before="60" w:line="300"/>
      </w:pPr>
      <w:r>
        <w:rPr>
          <w:rFonts w:ascii="Calibri" w:cs="Calibri" w:eastAsia="Calibri" w:hAnsi="Calibri"/>
          <w:b/>
          <w:bCs/>
          <w:color w:val="B8862F"/>
          <w:sz w:val="22"/>
          <w:szCs w:val="22"/>
        </w:rPr>
        <w:t xml:space="preserve">[00:00 – 00:03]  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SFX only. Text: কিছু ঠিকানা শুধু কেনা যায় না — অর্জন করতে হয়।</w:t>
      </w:r>
    </w:p>
    <w:p>
      <w:pPr>
        <w:spacing w:after="60" w:before="60" w:line="300"/>
      </w:pPr>
      <w:r>
        <w:rPr>
          <w:rFonts w:ascii="Calibri" w:cs="Calibri" w:eastAsia="Calibri" w:hAnsi="Calibri"/>
          <w:b/>
          <w:bCs/>
          <w:color w:val="B8862F"/>
          <w:sz w:val="22"/>
          <w:szCs w:val="22"/>
        </w:rPr>
        <w:t xml:space="preserve">[00:03 – 00:08]   </w:t>
      </w:r>
      <w:r>
        <w:rPr>
          <w:rFonts w:ascii="Calibri" w:cs="Calibri" w:eastAsia="Calibri" w:hAnsi="Calibri"/>
          <w:i/>
          <w:iCs/>
          <w:color w:val="1F1F1F"/>
          <w:sz w:val="22"/>
          <w:szCs w:val="22"/>
        </w:rPr>
        <w:t xml:space="preserve">(silence, footsteps, ambient lobby)</w:t>
      </w:r>
    </w:p>
    <w:p>
      <w:pPr>
        <w:spacing w:after="60" w:before="60" w:line="300"/>
      </w:pPr>
      <w:r>
        <w:rPr>
          <w:rFonts w:ascii="Calibri" w:cs="Calibri" w:eastAsia="Calibri" w:hAnsi="Calibri"/>
          <w:b/>
          <w:bCs/>
          <w:color w:val="B8862F"/>
          <w:sz w:val="22"/>
          <w:szCs w:val="22"/>
        </w:rPr>
        <w:t xml:space="preserve">[00:08 – 00:15]  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VO: ১৪ বছরের পরিশ্রমের পর, আপনার পরিবারের জন্য — Gulshan-2-এর সবচেয়ে exclusive ঠিকানা।</w:t>
      </w:r>
    </w:p>
    <w:p>
      <w:pPr>
        <w:spacing w:after="60" w:before="60" w:line="300"/>
      </w:pPr>
      <w:r>
        <w:rPr>
          <w:rFonts w:ascii="Calibri" w:cs="Calibri" w:eastAsia="Calibri" w:hAnsi="Calibri"/>
          <w:b/>
          <w:bCs/>
          <w:color w:val="B8862F"/>
          <w:sz w:val="22"/>
          <w:szCs w:val="22"/>
        </w:rPr>
        <w:t xml:space="preserve">[00:15 – 00:22]  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VO: Sanmar Properties — ২৭টি প্রজেক্ট, ২৭টি সময়মতো হ্যান্ডওভার। শূন্য বিলম্ব। কারণ আপনার পরিবার শুধু একটা apartment কিনছে না, একটা প্রতিশ্রুতি কিনছে।</w:t>
      </w:r>
    </w:p>
    <w:p>
      <w:pPr>
        <w:spacing w:after="60" w:before="60" w:line="300"/>
      </w:pPr>
      <w:r>
        <w:rPr>
          <w:rFonts w:ascii="Calibri" w:cs="Calibri" w:eastAsia="Calibri" w:hAnsi="Calibri"/>
          <w:b/>
          <w:bCs/>
          <w:color w:val="B8862F"/>
          <w:sz w:val="22"/>
          <w:szCs w:val="22"/>
        </w:rPr>
        <w:t xml:space="preserve">[00:22 – 00:27]  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VO: ৩,৪০০ থেকে ৪,২০০ sqft. মাত্র ১২টি ইউনিট অবশিষ্ট। শুরু ৪.২ কোটি টাকা থেকে।</w:t>
      </w:r>
    </w:p>
    <w:p>
      <w:pPr>
        <w:spacing w:after="60" w:before="60" w:line="300"/>
      </w:pPr>
      <w:r>
        <w:rPr>
          <w:rFonts w:ascii="Calibri" w:cs="Calibri" w:eastAsia="Calibri" w:hAnsi="Calibri"/>
          <w:b/>
          <w:bCs/>
          <w:color w:val="B8862F"/>
          <w:sz w:val="22"/>
          <w:szCs w:val="22"/>
        </w:rPr>
        <w:t xml:space="preserve">[00:27 – 00:30]  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VO (closing): WhatsApp করুন আজই — ১৫ই জুনের আগে private site visit বুক করলে আপনার পছন্দের floor reserved.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Cutdown scripts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6s static-text version: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Hook line + price reveal + WhatsApp CTA only. For top-funnel reach.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15s spouse-cut: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Strip out Proof beat, double Reveal. For warm-audience retargeting.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Carousel slides (5 cards):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(1) Hook line · (2) Floor plan · (3) Lobby render · (4) 27/27 proof · (5) CTA card with WhatsApp.</w:t>
      </w:r>
    </w:p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08 · TYPOGRAPHY SYSTEM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600"/>
        <w:gridCol w:w="4760"/>
      </w:tblGrid>
      <w:tr>
        <w:trPr>
          <w:tblHeader/>
        </w:trPr>
        <w:tc>
          <w:tcPr>
            <w:tcW w:type="dxa" w:w="20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Use</w:t>
            </w:r>
          </w:p>
        </w:tc>
        <w:tc>
          <w:tcPr>
            <w:tcW w:type="dxa" w:w="26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Font</w:t>
            </w:r>
          </w:p>
        </w:tc>
        <w:tc>
          <w:tcPr>
            <w:tcW w:type="dxa" w:w="476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Primary Display</w:t>
            </w:r>
          </w:p>
        </w:tc>
        <w:tc>
          <w:tcPr>
            <w:tcW w:type="dxa" w:w="26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Playfair Display (700)</w:t>
            </w:r>
          </w:p>
        </w:tc>
        <w:tc>
          <w:tcPr>
            <w:tcW w:type="dxa" w:w="4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Hero text on stills + end cards. Conveys legacy/premium. Sentence case, never all caps.</w:t>
            </w:r>
          </w:p>
        </w:tc>
      </w:tr>
      <w:tr>
        <w:tc>
          <w:tcPr>
            <w:tcW w:type="dxa" w:w="2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Bangla Primary</w:t>
            </w:r>
          </w:p>
        </w:tc>
        <w:tc>
          <w:tcPr>
            <w:tcW w:type="dxa" w:w="26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Adorsho Lipi Bold or SolaimanLipi Bold</w:t>
            </w:r>
          </w:p>
        </w:tc>
        <w:tc>
          <w:tcPr>
            <w:tcW w:type="dxa" w:w="4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Bangla headlines and overlays. Must render at 80px+ on 1080×1920 to remain crisp on feed compression.</w:t>
            </w:r>
          </w:p>
        </w:tc>
      </w:tr>
      <w:tr>
        <w:tc>
          <w:tcPr>
            <w:tcW w:type="dxa" w:w="2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Body / Specs</w:t>
            </w:r>
          </w:p>
        </w:tc>
        <w:tc>
          <w:tcPr>
            <w:tcW w:type="dxa" w:w="26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Inter or Helvetica Now (500)</w:t>
            </w:r>
          </w:p>
        </w:tc>
        <w:tc>
          <w:tcPr>
            <w:tcW w:type="dxa" w:w="4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Floor specs, captions, lower-thirds. Letter-spacing +20 for caps lock-ups.</w:t>
            </w:r>
          </w:p>
        </w:tc>
      </w:tr>
      <w:tr>
        <w:tc>
          <w:tcPr>
            <w:tcW w:type="dxa" w:w="2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Number Tickers</w:t>
            </w:r>
          </w:p>
        </w:tc>
        <w:tc>
          <w:tcPr>
            <w:tcW w:type="dxa" w:w="26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Inter Mono (600)</w:t>
            </w:r>
          </w:p>
        </w:tc>
        <w:tc>
          <w:tcPr>
            <w:tcW w:type="dxa" w:w="4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Price ৪.২ কোটি, unit count 12/37, year stamps. Mono prevents jitter on count-up animations.</w:t>
            </w:r>
          </w:p>
        </w:tc>
      </w:tr>
      <w:tr>
        <w:tc>
          <w:tcPr>
            <w:tcW w:type="dxa" w:w="2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Forbidden</w:t>
            </w:r>
          </w:p>
        </w:tc>
        <w:tc>
          <w:tcPr>
            <w:tcW w:type="dxa" w:w="26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—</w:t>
            </w:r>
          </w:p>
        </w:tc>
        <w:tc>
          <w:tcPr>
            <w:tcW w:type="dxa" w:w="4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No Comic Sans, no Papyrus, no Brush Script, no Bangla decorative fonts. No drop shadows on display type.</w:t>
            </w:r>
          </w:p>
        </w:tc>
      </w:tr>
    </w:tbl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Type-size rules (1080×1920 vertical)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Hero headline: 80–96 px, max 6 words per line, max 2 lines.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Sub-headline: 44–52 px, single line preferred.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Body / disclaimer: 28–32 px, never below 26 px.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Safe zone: keep all critical text within 90% of frame; Reels UI overlaps the lower 12% and upper 8%.</w:t>
      </w:r>
    </w:p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09 · CTA DIRECTION</w:t>
      </w:r>
    </w:p>
    <w:p>
      <w:pPr>
        <w:spacing w:after="60" w:before="60" w:line="30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1F1F1F"/>
          <w:sz w:val="22"/>
          <w:szCs w:val="22"/>
        </w:rPr>
        <w:t xml:space="preserve">Primary CTA is WhatsApp lead (not phone, not form). WhatsApp lead has 3.4× higher visit conversion in our last cycle vs Lead Form, because the salesperson opens dialogue within 7 minutes.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4360"/>
        <w:gridCol w:w="3000"/>
      </w:tblGrid>
      <w:tr>
        <w:trPr>
          <w:tblHeader/>
        </w:trPr>
        <w:tc>
          <w:tcPr>
            <w:tcW w:type="dxa" w:w="20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Layer</w:t>
            </w:r>
          </w:p>
        </w:tc>
        <w:tc>
          <w:tcPr>
            <w:tcW w:type="dxa" w:w="436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Copy</w:t>
            </w:r>
          </w:p>
        </w:tc>
        <w:tc>
          <w:tcPr>
            <w:tcW w:type="dxa" w:w="30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Placement</w:t>
            </w:r>
          </w:p>
        </w:tc>
      </w:tr>
      <w:tr>
        <w:tc>
          <w:tcPr>
            <w:tcW w:type="dxa" w:w="2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Primary CTA</w:t>
            </w:r>
          </w:p>
        </w:tc>
        <w:tc>
          <w:tcPr>
            <w:tcW w:type="dxa" w:w="43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WhatsApp করুন আজই — Private Site Visit Book করুন</w:t>
            </w:r>
          </w:p>
        </w:tc>
        <w:tc>
          <w:tcPr>
            <w:tcW w:type="dxa" w:w="3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End-card + sticky bottom band, last 4s of video</w:t>
            </w:r>
          </w:p>
        </w:tc>
      </w:tr>
      <w:tr>
        <w:tc>
          <w:tcPr>
            <w:tcW w:type="dxa" w:w="2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Secondary CTA</w:t>
            </w:r>
          </w:p>
        </w:tc>
        <w:tc>
          <w:tcPr>
            <w:tcW w:type="dxa" w:w="43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Floor Plan + Price ডাউনলোড করুন</w:t>
            </w:r>
          </w:p>
        </w:tc>
        <w:tc>
          <w:tcPr>
            <w:tcW w:type="dxa" w:w="3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For carousel slide 5, retargeting layer only</w:t>
            </w:r>
          </w:p>
        </w:tc>
      </w:tr>
      <w:tr>
        <w:tc>
          <w:tcPr>
            <w:tcW w:type="dxa" w:w="2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Tertiary (Story)</w:t>
            </w:r>
          </w:p>
        </w:tc>
        <w:tc>
          <w:tcPr>
            <w:tcW w:type="dxa" w:w="43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Swipe Up → Book Visit</w:t>
            </w:r>
          </w:p>
        </w:tc>
        <w:tc>
          <w:tcPr>
            <w:tcW w:type="dxa" w:w="3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Story / Reels Story placements with link sticker</w:t>
            </w:r>
          </w:p>
        </w:tc>
      </w:tr>
      <w:tr>
        <w:tc>
          <w:tcPr>
            <w:tcW w:type="dxa" w:w="2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Meta button</w:t>
            </w:r>
          </w:p>
        </w:tc>
        <w:tc>
          <w:tcPr>
            <w:tcW w:type="dxa" w:w="43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“Send Message” (WhatsApp) → never “Learn More”</w:t>
            </w:r>
          </w:p>
        </w:tc>
        <w:tc>
          <w:tcPr>
            <w:tcW w:type="dxa" w:w="3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Drives directly to WA Business inbox</w:t>
            </w:r>
          </w:p>
        </w:tc>
      </w:tr>
      <w:tr>
        <w:tc>
          <w:tcPr>
            <w:tcW w:type="dxa" w:w="2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Urgency frame</w:t>
            </w:r>
          </w:p>
        </w:tc>
        <w:tc>
          <w:tcPr>
            <w:tcW w:type="dxa" w:w="43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মাত্র ১২ ইউনিট অবশিষ্ট · ১৫ই জুনের আগে বুক করলে preferred floor</w:t>
            </w:r>
          </w:p>
        </w:tc>
        <w:tc>
          <w:tcPr>
            <w:tcW w:type="dxa" w:w="30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Scarcity must be real and reflected on landing page</w:t>
            </w:r>
          </w:p>
        </w:tc>
      </w:tr>
    </w:tbl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10 · PLATFORM-SPECIFIC CREATIVE SIZES</w:t>
      </w:r>
    </w:p>
    <w:p>
      <w:pPr>
        <w:spacing w:after="60" w:before="60" w:line="30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1F1F1F"/>
          <w:sz w:val="22"/>
          <w:szCs w:val="22"/>
        </w:rPr>
        <w:t xml:space="preserve">Meta-only deployment. Asset matrix below is the MINIMUM ship list per concept. Do not crop a single master — produce native per placement.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2800"/>
        <w:gridCol w:w="3760"/>
      </w:tblGrid>
      <w:tr>
        <w:trPr>
          <w:tblHeader/>
        </w:trPr>
        <w:tc>
          <w:tcPr>
            <w:tcW w:type="dxa" w:w="28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Placement</w:t>
            </w:r>
          </w:p>
        </w:tc>
        <w:tc>
          <w:tcPr>
            <w:tcW w:type="dxa" w:w="28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Ratio / Pixels</w:t>
            </w:r>
          </w:p>
        </w:tc>
        <w:tc>
          <w:tcPr>
            <w:tcW w:type="dxa" w:w="376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Feed Video</w:t>
            </w:r>
          </w:p>
        </w:tc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1:1 (1080×1080) and 4:5 (1080×1350)</w:t>
            </w:r>
          </w:p>
        </w:tc>
        <w:tc>
          <w:tcPr>
            <w:tcW w:type="dxa" w:w="3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Reels-disabled feed surfaces; 4:5 wins more screen real estate</w:t>
            </w:r>
          </w:p>
        </w:tc>
      </w:tr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Reels / Stories Video</w:t>
            </w:r>
          </w:p>
        </w:tc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9:16 (1080×1920)</w:t>
            </w:r>
          </w:p>
        </w:tc>
        <w:tc>
          <w:tcPr>
            <w:tcW w:type="dxa" w:w="3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Hero placement. Safe-zone-aware. Captions burned in.</w:t>
            </w:r>
          </w:p>
        </w:tc>
      </w:tr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Carousel — Static</w:t>
            </w:r>
          </w:p>
        </w:tc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1:1 (1080×1080) × 5 cards</w:t>
            </w:r>
          </w:p>
        </w:tc>
        <w:tc>
          <w:tcPr>
            <w:tcW w:type="dxa" w:w="3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Use when retargeting warm audiences with proof + plan</w:t>
            </w:r>
          </w:p>
        </w:tc>
      </w:tr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Single Image Static</w:t>
            </w:r>
          </w:p>
        </w:tc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1:1 + 4:5</w:t>
            </w:r>
          </w:p>
        </w:tc>
        <w:tc>
          <w:tcPr>
            <w:tcW w:type="dxa" w:w="3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Always-on testing slot — refreshed weekly</w:t>
            </w:r>
          </w:p>
        </w:tc>
      </w:tr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Right Column / Audience Network</w:t>
            </w:r>
          </w:p>
        </w:tc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1.91:1 (1200×628)</w:t>
            </w:r>
          </w:p>
        </w:tc>
        <w:tc>
          <w:tcPr>
            <w:tcW w:type="dxa" w:w="3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Lowest priority — minimal spend, often turned off</w:t>
            </w:r>
          </w:p>
        </w:tc>
      </w:tr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Lead Form Cover</w:t>
            </w:r>
          </w:p>
        </w:tc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1.91:1 (1200×628)</w:t>
            </w:r>
          </w:p>
        </w:tc>
        <w:tc>
          <w:tcPr>
            <w:tcW w:type="dxa" w:w="3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Header image on Instant Form, must echo hero creative</w:t>
            </w:r>
          </w:p>
        </w:tc>
      </w:tr>
      <w:tr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WhatsApp Click-to-Chat Asset</w:t>
            </w:r>
          </w:p>
        </w:tc>
        <w:tc>
          <w:tcPr>
            <w:tcW w:type="dxa" w:w="2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1:1</w:t>
            </w:r>
          </w:p>
        </w:tc>
        <w:tc>
          <w:tcPr>
            <w:tcW w:type="dxa" w:w="3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Match-the-ad experience inside WhatsApp catalog</w:t>
            </w:r>
          </w:p>
        </w:tc>
      </w:tr>
    </w:tbl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11 · VIDEO DURATION MATRIX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00"/>
        <w:gridCol w:w="3800"/>
        <w:gridCol w:w="4160"/>
      </w:tblGrid>
      <w:tr>
        <w:trPr>
          <w:tblHeader/>
        </w:trPr>
        <w:tc>
          <w:tcPr>
            <w:tcW w:type="dxa" w:w="14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Length</w:t>
            </w:r>
          </w:p>
        </w:tc>
        <w:tc>
          <w:tcPr>
            <w:tcW w:type="dxa" w:w="38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Where</w:t>
            </w:r>
          </w:p>
        </w:tc>
        <w:tc>
          <w:tcPr>
            <w:tcW w:type="dxa" w:w="416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What to keep</w:t>
            </w:r>
          </w:p>
        </w:tc>
      </w:tr>
      <w:tr>
        <w:tc>
          <w:tcPr>
            <w:tcW w:type="dxa" w:w="14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6s</w:t>
            </w:r>
          </w:p>
        </w:tc>
        <w:tc>
          <w:tcPr>
            <w:tcW w:type="dxa" w:w="3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Reels / Stories bumpers</w:t>
            </w:r>
          </w:p>
        </w:tc>
        <w:tc>
          <w:tcPr>
            <w:tcW w:type="dxa" w:w="41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Hook + offer + CTA. No proof beat.</w:t>
            </w:r>
          </w:p>
        </w:tc>
      </w:tr>
      <w:tr>
        <w:tc>
          <w:tcPr>
            <w:tcW w:type="dxa" w:w="14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15s</w:t>
            </w:r>
          </w:p>
        </w:tc>
        <w:tc>
          <w:tcPr>
            <w:tcW w:type="dxa" w:w="3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Feed + Reels (cold prospecting)</w:t>
            </w:r>
          </w:p>
        </w:tc>
        <w:tc>
          <w:tcPr>
            <w:tcW w:type="dxa" w:w="41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Hook + reveal + CTA. Strip Proof down to single chyron.</w:t>
            </w:r>
          </w:p>
        </w:tc>
      </w:tr>
      <w:tr>
        <w:tc>
          <w:tcPr>
            <w:tcW w:type="dxa" w:w="14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30s</w:t>
            </w:r>
          </w:p>
        </w:tc>
        <w:tc>
          <w:tcPr>
            <w:tcW w:type="dxa" w:w="3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Feed + Reels (mid funnel)</w:t>
            </w:r>
          </w:p>
        </w:tc>
        <w:tc>
          <w:tcPr>
            <w:tcW w:type="dxa" w:w="41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Hero — full board above.</w:t>
            </w:r>
          </w:p>
        </w:tc>
      </w:tr>
      <w:tr>
        <w:tc>
          <w:tcPr>
            <w:tcW w:type="dxa" w:w="14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45–60s</w:t>
            </w:r>
          </w:p>
        </w:tc>
        <w:tc>
          <w:tcPr>
            <w:tcW w:type="dxa" w:w="3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Retargeting (warm)</w:t>
            </w:r>
          </w:p>
        </w:tc>
        <w:tc>
          <w:tcPr>
            <w:tcW w:type="dxa" w:w="41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Add testimonial insert + extended Proof. Only served to engagers.</w:t>
            </w:r>
          </w:p>
        </w:tc>
      </w:tr>
    </w:tbl>
    <w:p>
      <w:pPr>
        <w:spacing w:after="60" w:before="60" w:line="300"/>
      </w:pPr>
      <w:r>
        <w:rPr>
          <w:rFonts w:ascii="Calibri" w:cs="Calibri" w:eastAsia="Calibri" w:hAnsi="Calibri"/>
          <w:b/>
          <w:bCs/>
          <w:color w:val="B8862F"/>
          <w:sz w:val="22"/>
          <w:szCs w:val="22"/>
        </w:rPr>
        <w:t xml:space="preserve">Data note: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Meta’s 2025 placement benchmarks (Bangladesh real-estate vertical) show 15s carries the best CPM-to-CTR balance for prospecting; 30s wins on quality (lower-funnel CVR). Production matrix mirrors that finding.</w:t>
      </w:r>
    </w:p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12 · BRANDING INSTRUCTIONS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Mandatories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Sanmar wordmark in champagne gold (#B8862F) on every end card; never on a busy photo background — always on a solid Navy or Ivory plate.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RAJUK-approved badge must appear on at least one frame of every video and on carousel slide 4.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Disclaimer line bottom-aligned 28 px: "মূল্য পরিবর্তনযোগ্য. শর্ত প্রযোজ্য. RAJUK Approval No. XX/YYYY."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Founder name and 14-year track record stamp on Proof beat.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Do NOT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Do not stretch the logo, never under 80 px width on a 1080×1920 frame.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Do not place CTA copy over the wordmark.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Do not use generic stock footage of foreign skylines — must read as Dhaka.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Do not use cheap motion-graphic templates (Envato/Storyblocks lower-thirds) — instantly cheapens the brand.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Voice &amp; Tone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Voice: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Confident elder brother, not salesman. Speaks like the family advisor.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Bangla register: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Sadhu-bhasha-leaning, no slang, no transliterated English buzzwords ("deal", "offer" out).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English overlay: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British, not American. "Residences" not "Condos". "Handover" not "Move-in".</w:t>
      </w:r>
    </w:p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13 · PERFORMANCE-FOCUSED CREATIVE RECOMMENDATIONS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Production volume — math of variance</w:t>
      </w:r>
    </w:p>
    <w:p>
      <w:pPr>
        <w:spacing w:after="60" w:before="6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We must ship </w:t>
      </w: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minimum 24 creative variants per concept at launch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(3 concepts × 4 hooks × 2 durations) and refresh 30% weekly. </w:t>
      </w:r>
      <w:r>
        <w:rPr>
          <w:rFonts w:ascii="Calibri" w:cs="Calibri" w:eastAsia="Calibri" w:hAnsi="Calibri"/>
          <w:b/>
          <w:bCs/>
          <w:color w:val="B8862F"/>
          <w:sz w:val="22"/>
          <w:szCs w:val="22"/>
        </w:rPr>
        <w:t xml:space="preserve">Why: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Meta auction creative fatigue sets in at ~3.0 frequency on premium audiences in Dhaka (our 2025 internal data). Without a fresh-creative cadence, CPL deteriorates 18–24% in week 3.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Testing framework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Week 1 — Hook test: 12 hooks × identical body × identical CTA. Kill bottom 6 after 1,200 impressions each.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Week 2 — Body test: surviving hooks × 3 body treatments (proof-led, lifestyle-led, price-led).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Week 3 — CTA test: surviving combos × 3 CTA copy variants × 2 button labels.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Week 4 — Scale: top 3 combinations → 75% of budget; new hook batch enters test pool.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Format priority (by expected $/MQL contribution)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Reels 9:16 30s + 15s — 50% of spend.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Highest premium-audience attention in BD; strongest proven CPL.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Carousel 1:1 — 25%.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Best CVR after first view; proof-heavy treatment converts spouses.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Feed 4:5 video — 15%.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Reach the no-Reels segment (40+ HNI cohort skews here).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Static 1:1 — 10%.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Always-on baseline; cheapest impressions for retargeting.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Captions, subtitles, and accessibility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85% of Meta video is watched on mute (Meta IQ, 2024). Burn Bangla captions on every video — not auto-generated, hand-typed.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Captions in pure white #FFFEFB with 60% opacity Navy plate behind; never yellow or shadow-only.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Phone numbers and WhatsApp numbers in numerals only (not Bangla digits) — improves tap-through and dial accuracy.</w:t>
      </w:r>
    </w:p>
    <w:p>
      <w:pPr>
        <w:spacing w:after="80" w:before="180"/>
      </w:pPr>
      <w:r>
        <w:rPr>
          <w:rFonts w:ascii="Calibri" w:cs="Calibri" w:eastAsia="Calibri" w:hAnsi="Calibri"/>
          <w:b/>
          <w:bCs/>
          <w:caps/>
          <w:color w:val="B8862F"/>
          <w:spacing w:val="20"/>
          <w:sz w:val="22"/>
          <w:szCs w:val="22"/>
        </w:rPr>
        <w:t xml:space="preserve">Creative KPIs the editor will be judged 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800"/>
        <w:gridCol w:w="1800"/>
        <w:gridCol w:w="3760"/>
      </w:tblGrid>
      <w:tr>
        <w:trPr>
          <w:tblHeader/>
        </w:trPr>
        <w:tc>
          <w:tcPr>
            <w:tcW w:type="dxa" w:w="38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Creative KPI</w:t>
            </w:r>
          </w:p>
        </w:tc>
        <w:tc>
          <w:tcPr>
            <w:tcW w:type="dxa" w:w="180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Target</w:t>
            </w:r>
          </w:p>
        </w:tc>
        <w:tc>
          <w:tcPr>
            <w:tcW w:type="dxa" w:w="3760"/>
            <w:tcBorders>
              <w:top w:val="single" w:color="0B2545" w:sz="4"/>
              <w:left w:val="single" w:color="0B2545" w:sz="4"/>
              <w:bottom w:val="single" w:color="0B2545" w:sz="4"/>
              <w:right w:val="single" w:color="0B2545" w:sz="4"/>
            </w:tcBorders>
            <w:shd w:fill="0B254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aps/>
                <w:color w:val="FFFFFF"/>
                <w:spacing w:val="20"/>
                <w:sz w:val="20"/>
                <w:szCs w:val="20"/>
              </w:rPr>
              <w:t xml:space="preserve">Read &amp; React</w:t>
            </w:r>
          </w:p>
        </w:tc>
      </w:tr>
      <w:tr>
        <w:tc>
          <w:tcPr>
            <w:tcW w:type="dxa" w:w="3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Hook-rate (3s view / impressions)</w:t>
            </w:r>
          </w:p>
        </w:tc>
        <w:tc>
          <w:tcPr>
            <w:tcW w:type="dxa" w:w="1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≥ 30%</w:t>
            </w:r>
          </w:p>
        </w:tc>
        <w:tc>
          <w:tcPr>
            <w:tcW w:type="dxa" w:w="3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If below 25%, replace hook within 48 hrs</w:t>
            </w:r>
          </w:p>
        </w:tc>
      </w:tr>
      <w:tr>
        <w:tc>
          <w:tcPr>
            <w:tcW w:type="dxa" w:w="3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Thumbstop (1s view / impressions)</w:t>
            </w:r>
          </w:p>
        </w:tc>
        <w:tc>
          <w:tcPr>
            <w:tcW w:type="dxa" w:w="1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≥ 35%</w:t>
            </w:r>
          </w:p>
        </w:tc>
        <w:tc>
          <w:tcPr>
            <w:tcW w:type="dxa" w:w="3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Indicates pattern interrupt is working</w:t>
            </w:r>
          </w:p>
        </w:tc>
      </w:tr>
      <w:tr>
        <w:tc>
          <w:tcPr>
            <w:tcW w:type="dxa" w:w="3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Hold-rate (50% video view)</w:t>
            </w:r>
          </w:p>
        </w:tc>
        <w:tc>
          <w:tcPr>
            <w:tcW w:type="dxa" w:w="1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≥ 18%</w:t>
            </w:r>
          </w:p>
        </w:tc>
        <w:tc>
          <w:tcPr>
            <w:tcW w:type="dxa" w:w="3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If below, second beat (Reveal/Proof) is weak</w:t>
            </w:r>
          </w:p>
        </w:tc>
      </w:tr>
      <w:tr>
        <w:tc>
          <w:tcPr>
            <w:tcW w:type="dxa" w:w="3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CTR (link clicks / impressions)</w:t>
            </w:r>
          </w:p>
        </w:tc>
        <w:tc>
          <w:tcPr>
            <w:tcW w:type="dxa" w:w="1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≥ 1.6%</w:t>
            </w:r>
          </w:p>
        </w:tc>
        <w:tc>
          <w:tcPr>
            <w:tcW w:type="dxa" w:w="3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If below, CTA frame or end card is failing</w:t>
            </w:r>
          </w:p>
        </w:tc>
      </w:tr>
      <w:tr>
        <w:tc>
          <w:tcPr>
            <w:tcW w:type="dxa" w:w="3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CPQL (cost per qualified lead)</w:t>
            </w:r>
          </w:p>
        </w:tc>
        <w:tc>
          <w:tcPr>
            <w:tcW w:type="dxa" w:w="180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shd w:fill="F4F1E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1F1F"/>
                <w:sz w:val="20"/>
                <w:szCs w:val="20"/>
              </w:rPr>
              <w:t xml:space="preserve">≤ BDT 850</w:t>
            </w:r>
          </w:p>
        </w:tc>
        <w:tc>
          <w:tcPr>
            <w:tcW w:type="dxa" w:w="3760"/>
            <w:tcBorders>
              <w:top w:val="single" w:color="D9D2C2" w:sz="4"/>
              <w:left w:val="single" w:color="D9D2C2" w:sz="4"/>
              <w:bottom w:val="single" w:color="D9D2C2" w:sz="4"/>
              <w:right w:val="single" w:color="D9D2C2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1F1F1F"/>
                <w:sz w:val="20"/>
                <w:szCs w:val="20"/>
              </w:rPr>
              <w:t xml:space="preserve">Master KPI — read at 72-hour windows, not daily</w:t>
            </w:r>
          </w:p>
        </w:tc>
      </w:tr>
    </w:tbl>
    <w:p>
      <w:pPr>
        <w:pStyle w:val="Heading1"/>
        <w:pBdr>
          <w:bottom w:val="single" w:color="B8862F" w:sz="12" w:space="4"/>
        </w:pBdr>
        <w:spacing w:after="180" w:before="360"/>
      </w:pPr>
      <w:r>
        <w:rPr>
          <w:rFonts w:ascii="Calibri" w:cs="Calibri" w:eastAsia="Calibri" w:hAnsi="Calibri"/>
          <w:b/>
          <w:bCs/>
          <w:color w:val="0B2545"/>
          <w:spacing w:val="30"/>
          <w:sz w:val="32"/>
          <w:szCs w:val="32"/>
        </w:rPr>
        <w:t xml:space="preserve">14 · STRATEGIC RECAP &amp; SIGN-OFF</w:t>
      </w:r>
    </w:p>
    <w:p>
      <w:pPr>
        <w:spacing w:after="60" w:before="60" w:line="30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1F1F1F"/>
          <w:sz w:val="22"/>
          <w:szCs w:val="22"/>
        </w:rPr>
        <w:t xml:space="preserve">This brief operationalises three strategic bets, each tied to a data signal: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Bet 1 — Trust as differentiator: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Local feed is dominated by "mega offer" creative; we win the HNI segment by leaning cinematic + proof-led. Expected CPL advantage: 22–30%.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Bet 2 — Spouse as silent decider: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71% close-rate insight forces dual-protagonist creative. Concept C is built around this; budget allocation gives it 25% share to validate.</w:t>
      </w:r>
    </w:p>
    <w:p>
      <w:pPr>
        <w:pStyle w:val="ListParagraph"/>
        <w:numPr>
          <w:ilvl w:val="0"/>
          <w:numId w:val="2"/>
        </w:numPr>
        <w:spacing w:after="40" w:before="40" w:line="300"/>
      </w:pPr>
      <w:r>
        <w:rPr>
          <w:rFonts w:ascii="Calibri" w:cs="Calibri" w:eastAsia="Calibri" w:hAnsi="Calibri"/>
          <w:b/>
          <w:bCs/>
          <w:color w:val="0B2545"/>
          <w:sz w:val="22"/>
          <w:szCs w:val="22"/>
        </w:rPr>
        <w:t xml:space="preserve">Bet 3 — WhatsApp over Forms: </w:t>
      </w:r>
      <w:r>
        <w:rPr>
          <w:rFonts w:ascii="Calibri" w:cs="Calibri" w:eastAsia="Calibri" w:hAnsi="Calibri"/>
          <w:color w:val="1F1F1F"/>
          <w:sz w:val="22"/>
          <w:szCs w:val="22"/>
        </w:rPr>
        <w:t xml:space="preserve">Past-cycle data shows 3.4× downstream visit-rate. We surrender form-fill volume to gain qualified intent.</w:t>
      </w:r>
    </w:p>
    <w:p>
      <w:pPr>
        <w:spacing w:after="200" w:before="200"/>
      </w:pPr>
      <w:r>
        <w:t xml:space="preserve"/>
      </w:r>
    </w:p>
    <w:p>
      <w:pPr>
        <w:spacing w:after="60" w:before="60" w:line="300"/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1F1F1F"/>
          <w:sz w:val="22"/>
          <w:szCs w:val="22"/>
        </w:rPr>
        <w:t xml:space="preserve">Approval required before production kickoff:</w:t>
      </w:r>
    </w:p>
    <w:p>
      <w:pPr>
        <w:spacing w:after="60" w:before="6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Growth Lead: ____________________   Date: __________</w:t>
      </w:r>
    </w:p>
    <w:p>
      <w:pPr>
        <w:spacing w:after="60" w:before="6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Brand Director: __________________   Date: __________</w:t>
      </w:r>
    </w:p>
    <w:p>
      <w:pPr>
        <w:spacing w:after="60" w:before="60" w:line="300"/>
      </w:pPr>
      <w:r>
        <w:rPr>
          <w:rFonts w:ascii="Calibri" w:cs="Calibri" w:eastAsia="Calibri" w:hAnsi="Calibri"/>
          <w:color w:val="1F1F1F"/>
          <w:sz w:val="22"/>
          <w:szCs w:val="22"/>
        </w:rPr>
        <w:t xml:space="preserve">MD / Sponsor: ____________________   Date: __________</w:t>
      </w:r>
    </w:p>
    <w:sectPr>
      <w:headerReference w:type="default" r:id="rId7"/>
      <w:footerReference w:type="default" r:id="rId8"/>
      <w:pgSz w:w="12240" w:h="15840" w:orient="portrait"/>
      <w:pgMar w:top="1100" w:right="1100" w:bottom="1100" w:left="11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tabs>
        <w:tab w:val="right" w:pos="9026"/>
      </w:tabs>
    </w:pPr>
    <w:r>
      <w:rPr>
        <w:rFonts w:ascii="Calibri" w:cs="Calibri" w:eastAsia="Calibri" w:hAnsi="Calibri"/>
        <w:color w:val="5A6473"/>
        <w:sz w:val="16"/>
        <w:szCs w:val="16"/>
      </w:rPr>
      <w:t xml:space="preserve">Prepared by Shourov Ahmed · Growth</w:t>
    </w:r>
    <w:r>
      <w:t xml:space="preserve">	</w:t>
    </w:r>
    <w:r>
      <w:rPr>
        <w:rFonts w:ascii="Calibri" w:cs="Calibri" w:eastAsia="Calibri" w:hAnsi="Calibri"/>
        <w:color w:val="5A6473"/>
        <w:sz w:val="16"/>
        <w:szCs w:val="16"/>
      </w:rPr>
      <w:t xml:space="preserve">Page </w:t>
    </w:r>
    <w:r>
      <w:rPr>
        <w:rFonts w:ascii="Calibri" w:cs="Calibri" w:eastAsia="Calibri" w:hAnsi="Calibri"/>
        <w:color w:val="5A6473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Calibri" w:cs="Calibri" w:eastAsia="Calibri" w:hAnsi="Calibri"/>
        <w:color w:val="5A6473"/>
        <w:spacing w:val="30"/>
        <w:sz w:val="16"/>
        <w:szCs w:val="16"/>
      </w:rPr>
      <w:t xml:space="preserve">SANMAR · CREATIVE BRIEF · META LEAD GEN · Q2 2026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360"/>
      </w:pPr>
    </w:lvl>
    <w:lvl w:ilvl="1" w15:tentative="1">
      <w:start w:val="1"/>
      <w:numFmt w:val="bullet"/>
      <w:lvlText w:val="◦"/>
      <w:lvlJc w:val="left"/>
      <w:pPr>
        <w:ind w:left="10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60"/>
      <w:outlineLvl w:val="0"/>
    </w:pPr>
    <w:rPr>
      <w:rFonts w:ascii="Calibri" w:cs="Calibri" w:eastAsia="Calibri" w:hAnsi="Calibri"/>
      <w:b/>
      <w:bCs/>
      <w:color w:val="0B2545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240"/>
      <w:outlineLvl w:val="1"/>
    </w:pPr>
    <w:rPr>
      <w:rFonts w:ascii="Calibri" w:cs="Calibri" w:eastAsia="Calibri" w:hAnsi="Calibri"/>
      <w:b/>
      <w:bCs/>
      <w:color w:val="0B2545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Sanmar Premium — Meta Lead Gen Creative Brief</dc:title>
  <dc:creator>Shourov Ahmed</dc:creator>
  <cp:lastModifiedBy>Un-named</cp:lastModifiedBy>
  <cp:revision>1</cp:revision>
  <dcterms:created xsi:type="dcterms:W3CDTF">2026-05-12T09:06:12.118Z</dcterms:created>
  <dcterms:modified xsi:type="dcterms:W3CDTF">2026-05-12T09:06:12.118Z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